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2C" w:rsidRDefault="004F564D">
      <w:pPr>
        <w:pStyle w:val="a7"/>
        <w:jc w:val="center"/>
        <w:rPr>
          <w:rFonts w:ascii="PT Astra Serif" w:hAnsi="PT Astra Serif" w:cs="Arial"/>
        </w:rPr>
      </w:pPr>
      <w:r>
        <w:rPr>
          <w:noProof/>
          <w:lang w:val="ru-RU" w:eastAsia="ru-RU"/>
        </w:rPr>
        <w:drawing>
          <wp:inline distT="0" distB="0" distL="0" distR="0">
            <wp:extent cx="400050" cy="76200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B2C" w:rsidRDefault="00ED1B2C">
      <w:pPr>
        <w:pStyle w:val="a7"/>
        <w:jc w:val="center"/>
        <w:rPr>
          <w:rFonts w:ascii="PT Astra Serif" w:hAnsi="PT Astra Serif" w:cs="Arial"/>
          <w:sz w:val="6"/>
          <w:szCs w:val="6"/>
        </w:rPr>
      </w:pPr>
    </w:p>
    <w:p w:rsidR="00ED1B2C" w:rsidRDefault="004F564D">
      <w:pPr>
        <w:pStyle w:val="a7"/>
        <w:jc w:val="center"/>
        <w:rPr>
          <w:rFonts w:ascii="PT Astra Serif" w:hAnsi="PT Astra Serif"/>
          <w:b/>
          <w:spacing w:val="-4"/>
          <w:sz w:val="30"/>
          <w:szCs w:val="30"/>
          <w:lang w:val="ru-RU"/>
        </w:rPr>
      </w:pPr>
      <w:r>
        <w:rPr>
          <w:rFonts w:ascii="PT Astra Serif" w:hAnsi="PT Astra Serif"/>
          <w:b/>
          <w:spacing w:val="-4"/>
          <w:sz w:val="30"/>
          <w:szCs w:val="30"/>
          <w:lang w:val="ru-RU"/>
        </w:rPr>
        <w:t xml:space="preserve">КОМИТЕТ МОЛОДЕЖНОЙ ПОЛИТИКИ </w:t>
      </w:r>
    </w:p>
    <w:p w:rsidR="00ED1B2C" w:rsidRDefault="004F564D">
      <w:pPr>
        <w:pStyle w:val="a7"/>
        <w:jc w:val="center"/>
        <w:rPr>
          <w:rFonts w:ascii="PT Astra Serif" w:hAnsi="PT Astra Serif"/>
          <w:b/>
          <w:spacing w:val="-4"/>
          <w:sz w:val="30"/>
          <w:szCs w:val="30"/>
          <w:lang w:val="ru-RU"/>
        </w:rPr>
      </w:pPr>
      <w:r>
        <w:rPr>
          <w:rFonts w:ascii="PT Astra Serif" w:hAnsi="PT Astra Serif"/>
          <w:b/>
          <w:sz w:val="30"/>
          <w:szCs w:val="30"/>
        </w:rPr>
        <w:t>САРАТОВСКОЙ ОБЛАСТИ</w:t>
      </w:r>
    </w:p>
    <w:p w:rsidR="00ED1B2C" w:rsidRDefault="004F564D">
      <w:pPr>
        <w:pStyle w:val="a7"/>
        <w:spacing w:line="288" w:lineRule="auto"/>
        <w:jc w:val="center"/>
        <w:rPr>
          <w:rFonts w:ascii="PT Astra Serif" w:hAnsi="PT Astra Serif"/>
          <w:b/>
          <w:sz w:val="12"/>
        </w:rPr>
      </w:pPr>
      <w:r>
        <w:rPr>
          <w:rFonts w:ascii="PT Astra Serif" w:hAnsi="PT Astra Serif"/>
          <w:b/>
          <w:noProof/>
          <w:sz w:val="12"/>
          <w:lang w:val="ru-RU" w:eastAsia="ru-RU"/>
        </w:rPr>
        <mc:AlternateContent>
          <mc:Choice Requires="wps">
            <w:drawing>
              <wp:anchor distT="15875" distB="15875" distL="15875" distR="15875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25820" cy="635"/>
                <wp:effectExtent l="15875" t="15875" r="15875" b="15875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72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pt,4.55pt" to="466.55pt,4.55pt" ID="Прямая соединительная линия 3" stroked="t" o:allowincell="f" style="position:absolute">
                <v:stroke color="black" weight="316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PT Astra Serif" w:hAnsi="PT Astra Serif"/>
          <w:b/>
          <w:noProof/>
          <w:sz w:val="12"/>
          <w:lang w:val="ru-RU" w:eastAsia="ru-RU"/>
        </w:rPr>
        <mc:AlternateContent>
          <mc:Choice Requires="wps">
            <w:drawing>
              <wp:anchor distT="5715" distB="5080" distL="5080" distR="5715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925820" cy="635"/>
                <wp:effectExtent l="5080" t="5715" r="5715" b="5080"/>
                <wp:wrapNone/>
                <wp:docPr id="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0pt;margin-top:10.2pt;width:466.5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ED1B2C" w:rsidRDefault="00ED1B2C">
      <w:pPr>
        <w:pStyle w:val="a7"/>
        <w:jc w:val="center"/>
        <w:rPr>
          <w:rFonts w:ascii="PT Astra Serif" w:hAnsi="PT Astra Serif"/>
          <w:b/>
          <w:sz w:val="20"/>
          <w:szCs w:val="20"/>
          <w:lang w:val="ru-RU"/>
        </w:rPr>
      </w:pPr>
    </w:p>
    <w:p w:rsidR="00ED1B2C" w:rsidRDefault="004F564D">
      <w:pPr>
        <w:pStyle w:val="a7"/>
        <w:jc w:val="center"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>П Р И К А З</w:t>
      </w:r>
    </w:p>
    <w:p w:rsidR="00ED1B2C" w:rsidRDefault="00ED1B2C">
      <w:pPr>
        <w:pStyle w:val="a7"/>
        <w:jc w:val="center"/>
        <w:rPr>
          <w:rFonts w:ascii="PT Astra Serif" w:hAnsi="PT Astra Serif"/>
          <w:b/>
          <w:sz w:val="20"/>
        </w:rPr>
      </w:pPr>
    </w:p>
    <w:p w:rsidR="00ED1B2C" w:rsidRDefault="004F564D">
      <w:pPr>
        <w:pStyle w:val="a7"/>
        <w:tabs>
          <w:tab w:val="left" w:pos="708"/>
        </w:tabs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________________</w:t>
      </w:r>
      <w:r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  <w:lang w:val="ru-RU"/>
        </w:rPr>
        <w:t xml:space="preserve"> _______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D1B2C" w:rsidRDefault="00ED1B2C">
      <w:pPr>
        <w:pStyle w:val="a7"/>
        <w:tabs>
          <w:tab w:val="left" w:pos="708"/>
        </w:tabs>
        <w:jc w:val="center"/>
        <w:rPr>
          <w:rFonts w:ascii="PT Astra Serif" w:hAnsi="PT Astra Serif"/>
          <w:sz w:val="20"/>
        </w:rPr>
      </w:pPr>
    </w:p>
    <w:p w:rsidR="00ED1B2C" w:rsidRDefault="004F564D">
      <w:pPr>
        <w:pStyle w:val="a7"/>
        <w:tabs>
          <w:tab w:val="left" w:pos="708"/>
        </w:tabs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</w:rPr>
        <w:t>г. Саратов</w:t>
      </w:r>
    </w:p>
    <w:p w:rsidR="00ED1B2C" w:rsidRDefault="004F564D">
      <w:pPr>
        <w:spacing w:beforeAutospacing="1" w:afterAutospacing="1" w:line="240" w:lineRule="auto"/>
        <w:ind w:right="4252"/>
        <w:rPr>
          <w:rFonts w:ascii="PT Astra Serif" w:eastAsia="Times New Roman" w:hAnsi="PT Astra Serif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2272F"/>
          <w:sz w:val="28"/>
          <w:szCs w:val="28"/>
          <w:lang w:eastAsia="ru-RU"/>
        </w:rPr>
        <w:t>О комиссии по формированию и ведению областного реестра молодежных и детских общественных объединений, пользующихся государственной поддержкой</w:t>
      </w: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Во исполнение Закона Саратовской области от 23 июля 1998 года                  № 38-ЗСО «О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государственной поддержке молодежных объединений», Постановления Правительства Саратовской области от 13 сентября 2023 года № 832-П «Вопросы комитета молодежной поли</w:t>
      </w:r>
      <w:r>
        <w:rPr>
          <w:rFonts w:ascii="PT Astra Serif" w:hAnsi="PT Astra Serif"/>
          <w:sz w:val="28"/>
          <w:szCs w:val="28"/>
        </w:rPr>
        <w:t xml:space="preserve">тики Саратовской области», Приказа комитета молодежной политики Саратовской области от 1 августа 2025 года № 59-од «Об утверждении административного регламента предоставления государственной услуги «Включение в областной реестр молодежных                  </w:t>
      </w:r>
      <w:r>
        <w:rPr>
          <w:rFonts w:ascii="PT Astra Serif" w:hAnsi="PT Astra Serif"/>
          <w:sz w:val="28"/>
          <w:szCs w:val="28"/>
        </w:rPr>
        <w:t xml:space="preserve">  и детских объединений, пользующихся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государственной поддержкой»   </w:t>
      </w:r>
    </w:p>
    <w:p w:rsidR="00ED1B2C" w:rsidRDefault="00ED1B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ED1B2C" w:rsidRDefault="00ED1B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Создать комиссию по формированию и ведению областного реестра молодежных и детских общественных объединений, пользующихся государственной поддержкой.</w:t>
      </w: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Утвердить Положен</w:t>
      </w:r>
      <w:r>
        <w:rPr>
          <w:rFonts w:ascii="PT Astra Serif" w:hAnsi="PT Astra Serif"/>
          <w:sz w:val="28"/>
          <w:szCs w:val="28"/>
        </w:rPr>
        <w:t>ие о комиссии по формированию и ведению областного реестра молодежных и детских общественных объединений, пользующихся государственной поддержкой, и ее состав согласно приложениям № 1, 2.</w:t>
      </w: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Ответственность за работу комиссии по формированию и ведению обла</w:t>
      </w:r>
      <w:r>
        <w:rPr>
          <w:rFonts w:ascii="PT Astra Serif" w:hAnsi="PT Astra Serif"/>
          <w:sz w:val="28"/>
          <w:szCs w:val="28"/>
        </w:rPr>
        <w:t>стного реестра молодежных и детских общественных объединений, пользующихся государственной поддержкой, возложить на отдел развития экосистемы молодежной политики.</w:t>
      </w:r>
    </w:p>
    <w:p w:rsidR="00ED1B2C" w:rsidRDefault="004F564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приказа оставляю за собой.</w:t>
      </w:r>
    </w:p>
    <w:p w:rsidR="00ED1B2C" w:rsidRDefault="00ED1B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D1B2C" w:rsidRDefault="00ED1B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D1B2C" w:rsidRDefault="00ED1B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D1B2C" w:rsidRDefault="004F564D">
      <w:pPr>
        <w:pStyle w:val="ConsPlusNormal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Председатель комитета  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  <w:t xml:space="preserve">       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  <w:t xml:space="preserve"> А.А. </w:t>
      </w:r>
      <w:proofErr w:type="spellStart"/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Беловицкая</w:t>
      </w:r>
      <w:proofErr w:type="spellEnd"/>
    </w:p>
    <w:p w:rsidR="00ED1B2C" w:rsidRDefault="00ED1B2C">
      <w:pPr>
        <w:pStyle w:val="ConsPlusNormal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D1B2C" w:rsidRDefault="00ED1B2C">
      <w:pPr>
        <w:pStyle w:val="ConsPlusNormal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D1B2C" w:rsidRDefault="004F564D">
      <w:pPr>
        <w:pStyle w:val="ConsPlusNormal"/>
        <w:jc w:val="right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Приложение № 1</w:t>
      </w:r>
    </w:p>
    <w:p w:rsidR="00ED1B2C" w:rsidRDefault="00ED1B2C">
      <w:pPr>
        <w:pStyle w:val="ConsPlusNormal"/>
        <w:jc w:val="right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УТВЕРЖДЕН</w:t>
      </w: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 xml:space="preserve">приказом комитета </w:t>
      </w: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молодежной политики</w:t>
      </w:r>
    </w:p>
    <w:p w:rsidR="00ED1B2C" w:rsidRDefault="004F564D">
      <w:pPr>
        <w:pStyle w:val="ConsPlusNormal"/>
        <w:ind w:left="5613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Саратовской области</w:t>
      </w:r>
    </w:p>
    <w:p w:rsidR="00ED1B2C" w:rsidRDefault="004F564D">
      <w:pPr>
        <w:pStyle w:val="ConsPlusNormal"/>
        <w:ind w:left="5613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от ______________  № ______</w:t>
      </w:r>
    </w:p>
    <w:p w:rsidR="00ED1B2C" w:rsidRDefault="00ED1B2C">
      <w:pPr>
        <w:spacing w:after="0" w:line="240" w:lineRule="auto"/>
        <w:jc w:val="center"/>
        <w:rPr>
          <w:rFonts w:ascii="PT Astra Serif;Times New Roman" w:eastAsia="Calibri" w:hAnsi="PT Astra Serif;Times New Roman" w:cs="PT Astra Serif;Times New Roman"/>
          <w:b/>
          <w:color w:val="111111"/>
          <w:sz w:val="27"/>
          <w:szCs w:val="27"/>
        </w:rPr>
      </w:pPr>
    </w:p>
    <w:p w:rsidR="00ED1B2C" w:rsidRDefault="004F564D">
      <w:pPr>
        <w:spacing w:after="0" w:line="240" w:lineRule="auto"/>
        <w:jc w:val="center"/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</w:pPr>
      <w:r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  <w:t>Положение о комиссии по формированию и ведению областного реестра молодежных и детских общественных</w:t>
      </w:r>
      <w:r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  <w:t xml:space="preserve"> объединений, пользующихся государственной поддержкой</w:t>
      </w:r>
    </w:p>
    <w:p w:rsidR="00ED1B2C" w:rsidRDefault="00ED1B2C">
      <w:pPr>
        <w:spacing w:after="0" w:line="240" w:lineRule="auto"/>
        <w:jc w:val="center"/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</w:pPr>
    </w:p>
    <w:p w:rsidR="00ED1B2C" w:rsidRDefault="004F564D">
      <w:pPr>
        <w:spacing w:after="0" w:line="240" w:lineRule="auto"/>
        <w:ind w:firstLine="567"/>
        <w:jc w:val="both"/>
        <w:rPr>
          <w:rFonts w:ascii="PT Astra Serif" w:hAnsi="PT Astra Serif" w:cs="PT Astra Serif;Times New Roman"/>
          <w:color w:val="000000"/>
          <w:sz w:val="28"/>
          <w:szCs w:val="28"/>
        </w:rPr>
      </w:pPr>
      <w:r>
        <w:rPr>
          <w:rFonts w:ascii="PT Astra Serif" w:hAnsi="PT Astra Serif" w:cs="PT Astra Serif;Times New Roman"/>
          <w:color w:val="000000"/>
          <w:sz w:val="28"/>
          <w:szCs w:val="28"/>
        </w:rPr>
        <w:t>1. Комиссия по формированию и ведению областного реестра молодежных и детских общественных объединений, пользующихся государственной поддержкой (далее - Комиссия) является органом, образованным для обе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>спечения формирования и ведения областного реестра молодежных и детских объединений, пользующихся государственной поддержкой.</w:t>
      </w:r>
    </w:p>
    <w:p w:rsidR="00ED1B2C" w:rsidRDefault="004F564D">
      <w:pPr>
        <w:spacing w:after="0" w:line="240" w:lineRule="auto"/>
        <w:jc w:val="both"/>
        <w:rPr>
          <w:rFonts w:ascii="PT Astra Serif" w:hAnsi="PT Astra Serif" w:cs="PT Astra Serif;Times New Roman"/>
          <w:color w:val="000000"/>
          <w:sz w:val="28"/>
          <w:szCs w:val="28"/>
        </w:rPr>
      </w:pPr>
      <w:r>
        <w:rPr>
          <w:rFonts w:ascii="PT Astra Serif" w:hAnsi="PT Astra Serif" w:cs="PT Astra Serif;Times New Roman"/>
          <w:color w:val="000000"/>
          <w:sz w:val="28"/>
          <w:szCs w:val="28"/>
        </w:rPr>
        <w:t xml:space="preserve">   2. Комиссия в своей деятельности руководствуется Конституцией Российской Федерации, федеральными законами, указами и распоряжен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>иями Президента Российской Федерации, законами области, постановлениями и распоряжениями Правительства Российской Федерации, постановлениями и распоряжениями Губернатора области и Правительства области, нормативными правовыми актами органов государственной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 xml:space="preserve"> власти области, а также настоящим Положением.</w:t>
      </w:r>
    </w:p>
    <w:p w:rsidR="00ED1B2C" w:rsidRDefault="004F564D">
      <w:pPr>
        <w:spacing w:after="0" w:line="240" w:lineRule="auto"/>
        <w:jc w:val="both"/>
      </w:pPr>
      <w:r>
        <w:rPr>
          <w:rFonts w:ascii="PT Astra Serif" w:hAnsi="PT Astra Serif" w:cs="PT Astra Serif;Times New Roman"/>
          <w:color w:val="000000"/>
          <w:sz w:val="28"/>
          <w:szCs w:val="28"/>
        </w:rPr>
        <w:t xml:space="preserve"> 3. Основными задачами Комиссии являются: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br/>
        <w:t xml:space="preserve">      </w:t>
      </w:r>
      <w:r>
        <w:rPr>
          <w:rFonts w:ascii="PT Astra Serif" w:hAnsi="PT Astra Serif"/>
          <w:sz w:val="28"/>
          <w:szCs w:val="28"/>
        </w:rPr>
        <w:t>участие в формировании областного реестра молодежных и детских объединений, пользующихся государственной поддержкой;</w:t>
      </w:r>
    </w:p>
    <w:p w:rsidR="00ED1B2C" w:rsidRDefault="004F56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рассмотрение документов, необходимых для</w:t>
      </w:r>
      <w:r>
        <w:rPr>
          <w:rFonts w:ascii="PT Astra Serif" w:hAnsi="PT Astra Serif"/>
          <w:sz w:val="28"/>
          <w:szCs w:val="28"/>
        </w:rPr>
        <w:t xml:space="preserve"> принятия решения о включении (отказе во включении) молодежных и детских объединений в областной реестр молодежных и детских объединений, пользующихся государственной поддержкой;</w:t>
      </w:r>
    </w:p>
    <w:p w:rsidR="00ED1B2C" w:rsidRDefault="004F56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принятие решения о включении (отказе во включении) молодежных и детск</w:t>
      </w:r>
      <w:r>
        <w:rPr>
          <w:rFonts w:ascii="PT Astra Serif" w:hAnsi="PT Astra Serif"/>
          <w:sz w:val="28"/>
          <w:szCs w:val="28"/>
        </w:rPr>
        <w:t>их объединений в областной реестр молодежных и детских объединений, пользующихся государственной поддержкой;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участие в ведении областного реестра молодежных и детских объединений, пользующихся государственной поддержкой.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Комиссия для выполнения возложен</w:t>
      </w:r>
      <w:r>
        <w:rPr>
          <w:rFonts w:ascii="PT Astra Serif" w:hAnsi="PT Astra Serif"/>
          <w:sz w:val="28"/>
          <w:szCs w:val="28"/>
        </w:rPr>
        <w:t>ных на нее задач осуществляет следующие функции: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рассмотрение представленных Заявителем документов;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проверка наличия всех необходимых документов, правильности оформления документов (проверка соответствия представленных документов установленным законодатель</w:t>
      </w:r>
      <w:r>
        <w:rPr>
          <w:rFonts w:ascii="PT Astra Serif" w:hAnsi="PT Astra Serif"/>
          <w:sz w:val="28"/>
          <w:szCs w:val="28"/>
        </w:rPr>
        <w:t>ством требованиям по форме и содержанию, наличия в документах всех необходимых подписей, печатей, реквизитов);</w:t>
      </w:r>
    </w:p>
    <w:p w:rsidR="00ED1B2C" w:rsidRDefault="004F564D">
      <w:pPr>
        <w:spacing w:after="0" w:line="240" w:lineRule="auto"/>
        <w:ind w:firstLine="794"/>
        <w:jc w:val="both"/>
      </w:pPr>
      <w:r>
        <w:rPr>
          <w:rFonts w:ascii="PT Astra Serif" w:hAnsi="PT Astra Serif"/>
          <w:sz w:val="28"/>
          <w:szCs w:val="28"/>
        </w:rPr>
        <w:t xml:space="preserve">принятие решения в форме протокола о включении (отказе во включении) молодежных и детских объединений в областной реестр </w:t>
      </w:r>
      <w:r>
        <w:rPr>
          <w:rFonts w:ascii="PT Astra Serif" w:hAnsi="PT Astra Serif"/>
          <w:sz w:val="28"/>
          <w:szCs w:val="28"/>
        </w:rPr>
        <w:lastRenderedPageBreak/>
        <w:t xml:space="preserve">молодежных и детских </w:t>
      </w:r>
      <w:r>
        <w:rPr>
          <w:rFonts w:ascii="PT Astra Serif" w:hAnsi="PT Astra Serif"/>
          <w:sz w:val="28"/>
          <w:szCs w:val="28"/>
        </w:rPr>
        <w:t>объединений, пользующихся государственной поддержкой.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Комиссия при осуществлении возложенных на нее задач имеет право: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запрашивать в установленном порядке в рамках межведомственного взаимодействия у федеральных органов исполнительной власти, органов исп</w:t>
      </w:r>
      <w:r>
        <w:rPr>
          <w:rFonts w:ascii="PT Astra Serif" w:hAnsi="PT Astra Serif"/>
          <w:sz w:val="28"/>
          <w:szCs w:val="28"/>
        </w:rPr>
        <w:t>олнительной власти области и органов местного самоуправления необходимую информацию по вопросам, относящимся к компетенции Комиссии;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контролировать выполнение органами исполнительной власти области решений Комиссии.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Комиссия состоит из председателя, </w:t>
      </w:r>
      <w:r>
        <w:rPr>
          <w:rFonts w:ascii="PT Astra Serif" w:hAnsi="PT Astra Serif"/>
          <w:sz w:val="28"/>
          <w:szCs w:val="28"/>
        </w:rPr>
        <w:t>заместителя (ей) председателя, ответственного секретаря и членов Комиссии.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Состав Комисси</w:t>
      </w:r>
      <w:r>
        <w:rPr>
          <w:rFonts w:ascii="PT Astra Serif" w:hAnsi="PT Astra Serif"/>
          <w:sz w:val="28"/>
          <w:szCs w:val="28"/>
        </w:rPr>
        <w:t>и утверждается приказом председателя комитета молодежной политики области (далее - комитет). Члены Комиссии участвуют в ее работе на общественных началах.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Заседания Комиссии проводятся по мере необходимости и считаются правомочными, если на них присутст</w:t>
      </w:r>
      <w:r>
        <w:rPr>
          <w:rFonts w:ascii="PT Astra Serif" w:hAnsi="PT Astra Serif"/>
          <w:sz w:val="28"/>
          <w:szCs w:val="28"/>
        </w:rPr>
        <w:t>вуют не менее половины ее членов.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Рассмотрение документов и принятие решения Комиссией осуществляется в течение 5 календарных дней с момента поступления документов в Комиссию и оформляется протоколом.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Решение Комиссии являются правомочными, если на </w:t>
      </w:r>
      <w:r>
        <w:rPr>
          <w:rFonts w:ascii="PT Astra Serif" w:hAnsi="PT Astra Serif"/>
          <w:sz w:val="28"/>
          <w:szCs w:val="28"/>
        </w:rPr>
        <w:t>заседании присутствует не менее половины членов Комиссии.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Комиссии принимаются простым большинством голосов присутствующих на заседании членов Комиссии. Если голоса распределились поровну, решающий голос имеет председатель Комиссии.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решени</w:t>
      </w:r>
      <w:r>
        <w:rPr>
          <w:rFonts w:ascii="PT Astra Serif" w:hAnsi="PT Astra Serif"/>
          <w:sz w:val="28"/>
          <w:szCs w:val="28"/>
        </w:rPr>
        <w:t>я членами Комиссии путем проведения заочного голосования и делегирования своих полномочий членами Комиссии иным лицам не допускается.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Решение, принятое на заседании Комиссии, оформляется протоколом и подписывается председателем и ответственным секретарем К</w:t>
      </w:r>
      <w:r>
        <w:rPr>
          <w:rFonts w:ascii="PT Astra Serif" w:hAnsi="PT Astra Serif"/>
          <w:sz w:val="28"/>
          <w:szCs w:val="28"/>
        </w:rPr>
        <w:t>омиссии, который является основанием для принятия решения о включении либо об отказе во включении объединения в областной реестр молодежных и детских объединений, пользующихся государственной поддержкой.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 включении либо об отказе во включении объе</w:t>
      </w:r>
      <w:r>
        <w:rPr>
          <w:rFonts w:ascii="PT Astra Serif" w:hAnsi="PT Astra Serif"/>
          <w:sz w:val="28"/>
          <w:szCs w:val="28"/>
        </w:rPr>
        <w:t>динения в областной реестр молодежных и детских объединений, пользующихся государственной поддержкой, принимается комитетом в течение 10 календарных дней со дня поступления заявления и необходимых документов от Заявителя и оформляется приказом председателя</w:t>
      </w:r>
      <w:r>
        <w:rPr>
          <w:rFonts w:ascii="PT Astra Serif" w:hAnsi="PT Astra Serif"/>
          <w:sz w:val="28"/>
          <w:szCs w:val="28"/>
        </w:rPr>
        <w:t xml:space="preserve"> комитета на основании протокола Комиссии.</w:t>
      </w:r>
    </w:p>
    <w:p w:rsidR="00ED1B2C" w:rsidRDefault="004F564D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Организационно-техническое и информационно-аналитическое обеспечение деятельности Комиссии осуществляет комитет.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br/>
        <w:t xml:space="preserve">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;Times New Roman" w:eastAsia="Calibri" w:hAnsi="PT Astra Serif;Times New Roman" w:cs="PT Astra Serif;Times New Roman"/>
          <w:sz w:val="28"/>
          <w:szCs w:val="28"/>
        </w:rPr>
        <w:t>Приложение</w:t>
      </w:r>
      <w:r>
        <w:rPr>
          <w:rFonts w:ascii="PT Astra Serif" w:eastAsia="Calibri" w:hAnsi="PT Astra Serif" w:cs="PT Astra Serif;Times New Roman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 w:cs="PT Astra Serif;Times New Roman"/>
          <w:sz w:val="28"/>
          <w:szCs w:val="28"/>
        </w:rPr>
        <w:t>№ 2</w:t>
      </w:r>
    </w:p>
    <w:p w:rsidR="00ED1B2C" w:rsidRDefault="00ED1B2C">
      <w:pPr>
        <w:pStyle w:val="ConsPlusNormal"/>
        <w:jc w:val="right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УТВЕРЖДЕН</w:t>
      </w: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 xml:space="preserve">приказом комитета </w:t>
      </w:r>
    </w:p>
    <w:p w:rsidR="00ED1B2C" w:rsidRDefault="004F564D">
      <w:pPr>
        <w:pStyle w:val="ConsPlusNormal"/>
        <w:ind w:left="5613"/>
        <w:outlineLvl w:val="0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молодежной политики</w:t>
      </w:r>
    </w:p>
    <w:p w:rsidR="00ED1B2C" w:rsidRDefault="004F564D">
      <w:pPr>
        <w:pStyle w:val="ConsPlusNormal"/>
        <w:ind w:left="5613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Саратовской области</w:t>
      </w:r>
    </w:p>
    <w:p w:rsidR="00ED1B2C" w:rsidRDefault="004F564D">
      <w:pPr>
        <w:pStyle w:val="ConsPlusNormal"/>
        <w:ind w:left="5613"/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  <w:lang w:eastAsia="en-US"/>
        </w:rPr>
        <w:t>от ______________  № ______</w:t>
      </w:r>
    </w:p>
    <w:p w:rsidR="00ED1B2C" w:rsidRDefault="00ED1B2C">
      <w:pPr>
        <w:spacing w:after="0" w:line="240" w:lineRule="auto"/>
        <w:jc w:val="center"/>
        <w:rPr>
          <w:rFonts w:ascii="PT Astra Serif;Times New Roman" w:eastAsia="Calibri" w:hAnsi="PT Astra Serif;Times New Roman" w:cs="PT Astra Serif;Times New Roman"/>
          <w:b/>
          <w:color w:val="111111"/>
          <w:sz w:val="27"/>
          <w:szCs w:val="27"/>
        </w:rPr>
      </w:pPr>
    </w:p>
    <w:p w:rsidR="00ED1B2C" w:rsidRDefault="00ED1B2C">
      <w:pPr>
        <w:spacing w:after="0" w:line="240" w:lineRule="auto"/>
        <w:jc w:val="center"/>
        <w:rPr>
          <w:rFonts w:ascii="PT Astra Serif;Times New Roman" w:eastAsia="Calibri" w:hAnsi="PT Astra Serif;Times New Roman" w:cs="PT Astra Serif;Times New Roman"/>
          <w:b/>
          <w:color w:val="111111"/>
          <w:sz w:val="27"/>
          <w:szCs w:val="27"/>
        </w:rPr>
      </w:pPr>
    </w:p>
    <w:p w:rsidR="00ED1B2C" w:rsidRDefault="004F564D">
      <w:pPr>
        <w:spacing w:after="0" w:line="240" w:lineRule="auto"/>
        <w:jc w:val="center"/>
        <w:rPr>
          <w:b/>
          <w:bCs/>
        </w:rPr>
      </w:pPr>
      <w:r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  <w:t xml:space="preserve">Состав комиссии по формированию и ведению областного реестра молодежных и детских общественных объединений, пользующихся </w:t>
      </w:r>
      <w:r>
        <w:rPr>
          <w:rFonts w:ascii="PT Astra Serif;Times New Roman" w:hAnsi="PT Astra Serif;Times New Roman" w:cs="PT Astra Serif;Times New Roman"/>
          <w:b/>
          <w:bCs/>
          <w:color w:val="000000"/>
          <w:sz w:val="28"/>
          <w:szCs w:val="28"/>
        </w:rPr>
        <w:t>государственной поддержкой</w:t>
      </w:r>
    </w:p>
    <w:p w:rsidR="00ED1B2C" w:rsidRDefault="00ED1B2C">
      <w:pPr>
        <w:spacing w:after="0" w:line="240" w:lineRule="auto"/>
        <w:jc w:val="center"/>
        <w:rPr>
          <w:rFonts w:ascii="PT Astra Serif;Times New Roman" w:hAnsi="PT Astra Serif;Times New Roman" w:cs="PT Astra Serif;Times New Roman"/>
          <w:color w:val="000000"/>
        </w:rPr>
      </w:pPr>
    </w:p>
    <w:p w:rsidR="00ED1B2C" w:rsidRDefault="004F564D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br/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Православнова</w:t>
      </w:r>
      <w:proofErr w:type="spellEnd"/>
      <w:r>
        <w:rPr>
          <w:rFonts w:ascii="PT Astra Serif" w:hAnsi="PT Astra Serif"/>
          <w:sz w:val="28"/>
          <w:szCs w:val="28"/>
        </w:rPr>
        <w:t xml:space="preserve"> О.А. - заместитель  председатель комитета молодежной политики Саратовской области, председатель комиссии;</w:t>
      </w:r>
    </w:p>
    <w:p w:rsidR="00ED1B2C" w:rsidRDefault="004F564D">
      <w:pPr>
        <w:spacing w:after="0" w:line="240" w:lineRule="auto"/>
        <w:ind w:firstLine="397"/>
        <w:jc w:val="both"/>
      </w:pPr>
      <w:r>
        <w:rPr>
          <w:rFonts w:ascii="PT Astra Serif" w:hAnsi="PT Astra Serif"/>
          <w:sz w:val="28"/>
          <w:szCs w:val="28"/>
        </w:rPr>
        <w:t xml:space="preserve">    Соловьева Л.А. - начальник отдела развития экосистемы молодежной политики комитета </w:t>
      </w:r>
      <w:r>
        <w:rPr>
          <w:rFonts w:ascii="PT Astra Serif" w:hAnsi="PT Astra Serif"/>
          <w:sz w:val="28"/>
          <w:szCs w:val="28"/>
        </w:rPr>
        <w:t>молодежной политики Саратовской области, ответственный секретарь комиссии.</w:t>
      </w:r>
    </w:p>
    <w:p w:rsidR="00ED1B2C" w:rsidRDefault="00ED1B2C">
      <w:pPr>
        <w:spacing w:after="0" w:line="240" w:lineRule="auto"/>
        <w:ind w:firstLine="397"/>
        <w:jc w:val="both"/>
        <w:rPr>
          <w:rFonts w:ascii="PT Astra Serif" w:hAnsi="PT Astra Serif"/>
          <w:sz w:val="28"/>
          <w:szCs w:val="28"/>
        </w:rPr>
      </w:pPr>
    </w:p>
    <w:p w:rsidR="00ED1B2C" w:rsidRDefault="004F564D">
      <w:pPr>
        <w:spacing w:after="0" w:line="240" w:lineRule="auto"/>
        <w:ind w:firstLine="397"/>
        <w:jc w:val="both"/>
      </w:pPr>
      <w:r>
        <w:rPr>
          <w:rFonts w:ascii="PT Astra Serif" w:hAnsi="PT Astra Serif"/>
          <w:sz w:val="28"/>
          <w:szCs w:val="28"/>
        </w:rPr>
        <w:t xml:space="preserve">     Члены комиссии:</w:t>
      </w:r>
    </w:p>
    <w:p w:rsidR="00ED1B2C" w:rsidRDefault="004F564D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Беловицкая</w:t>
      </w:r>
      <w:proofErr w:type="spellEnd"/>
      <w:r>
        <w:rPr>
          <w:rFonts w:ascii="PT Astra Serif" w:hAnsi="PT Astra Serif"/>
          <w:sz w:val="28"/>
          <w:szCs w:val="28"/>
        </w:rPr>
        <w:t xml:space="preserve"> А.А. - председатель комитета молодежной политики Саратовской области;</w:t>
      </w:r>
    </w:p>
    <w:p w:rsidR="00ED1B2C" w:rsidRDefault="004F564D">
      <w:pPr>
        <w:spacing w:after="0" w:line="240" w:lineRule="auto"/>
        <w:ind w:firstLine="397"/>
        <w:jc w:val="both"/>
      </w:pPr>
      <w:r>
        <w:rPr>
          <w:rFonts w:ascii="PT Astra Serif" w:hAnsi="PT Astra Serif"/>
          <w:sz w:val="28"/>
          <w:szCs w:val="28"/>
        </w:rPr>
        <w:t xml:space="preserve">   Еремина Е.В. - референт  отдела развития экосистемы молодежной политики</w:t>
      </w:r>
      <w:r>
        <w:rPr>
          <w:rFonts w:ascii="PT Astra Serif" w:hAnsi="PT Astra Serif"/>
          <w:sz w:val="28"/>
          <w:szCs w:val="28"/>
        </w:rPr>
        <w:t xml:space="preserve"> комитета молодежной политики Саратовской области;</w:t>
      </w:r>
    </w:p>
    <w:p w:rsidR="00ED1B2C" w:rsidRDefault="004F564D">
      <w:pPr>
        <w:spacing w:after="0" w:line="240" w:lineRule="auto"/>
        <w:ind w:firstLine="397"/>
        <w:jc w:val="both"/>
      </w:pPr>
      <w:r>
        <w:rPr>
          <w:rFonts w:ascii="PT Astra Serif" w:hAnsi="PT Astra Serif"/>
          <w:sz w:val="28"/>
          <w:szCs w:val="28"/>
        </w:rPr>
        <w:t xml:space="preserve">   Лобов Д.В. - консультант  отдела развития экосистемы молодежной политики комитета молодежной политики Саратовской области;</w:t>
      </w:r>
    </w:p>
    <w:p w:rsidR="00ED1B2C" w:rsidRDefault="004F564D">
      <w:pPr>
        <w:spacing w:after="0" w:line="240" w:lineRule="auto"/>
        <w:ind w:firstLine="397"/>
        <w:jc w:val="both"/>
      </w:pPr>
      <w:r>
        <w:rPr>
          <w:rFonts w:ascii="PT Astra Serif" w:hAnsi="PT Astra Serif"/>
          <w:sz w:val="28"/>
          <w:szCs w:val="28"/>
        </w:rPr>
        <w:t xml:space="preserve">  Щербаков Е.А. - консультант отдела организационно-правовой и финансовой работ</w:t>
      </w:r>
      <w:r>
        <w:rPr>
          <w:rFonts w:ascii="PT Astra Serif" w:hAnsi="PT Astra Serif"/>
          <w:sz w:val="28"/>
          <w:szCs w:val="28"/>
        </w:rPr>
        <w:t>ы комитета молодежной политики Саратовской области.</w:t>
      </w:r>
    </w:p>
    <w:p w:rsidR="00ED1B2C" w:rsidRDefault="00ED1B2C">
      <w:pPr>
        <w:spacing w:after="0" w:line="240" w:lineRule="auto"/>
        <w:ind w:left="567" w:firstLine="397"/>
        <w:jc w:val="both"/>
        <w:rPr>
          <w:rFonts w:ascii="PT Astra Serif" w:hAnsi="PT Astra Serif"/>
          <w:sz w:val="28"/>
          <w:szCs w:val="28"/>
        </w:rPr>
      </w:pPr>
    </w:p>
    <w:sectPr w:rsidR="00ED1B2C">
      <w:pgSz w:w="11906" w:h="16838"/>
      <w:pgMar w:top="39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C"/>
    <w:rsid w:val="004F564D"/>
    <w:rsid w:val="00E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37536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37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37536"/>
    <w:rPr>
      <w:i/>
      <w:iCs/>
    </w:rPr>
  </w:style>
  <w:style w:type="character" w:styleId="a4">
    <w:name w:val="Hyperlink"/>
    <w:basedOn w:val="a0"/>
    <w:uiPriority w:val="99"/>
    <w:semiHidden/>
    <w:unhideWhenUsed/>
    <w:rsid w:val="006375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7536"/>
    <w:rPr>
      <w:color w:val="800080"/>
      <w:u w:val="single"/>
    </w:rPr>
  </w:style>
  <w:style w:type="character" w:customStyle="1" w:styleId="entry">
    <w:name w:val="entry"/>
    <w:basedOn w:val="a0"/>
    <w:qFormat/>
    <w:rsid w:val="00637536"/>
  </w:style>
  <w:style w:type="character" w:customStyle="1" w:styleId="s10">
    <w:name w:val="s_10"/>
    <w:basedOn w:val="a0"/>
    <w:qFormat/>
    <w:rsid w:val="00637536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375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qFormat/>
    <w:locked/>
    <w:rsid w:val="009E3A0C"/>
    <w:rPr>
      <w:rFonts w:ascii="Times New Roman" w:eastAsia="Times New Roman" w:hAnsi="Times New Roman" w:cs="Times New Roman"/>
      <w:szCs w:val="24"/>
      <w:lang w:val="x-none"/>
    </w:rPr>
  </w:style>
  <w:style w:type="character" w:customStyle="1" w:styleId="10">
    <w:name w:val="Верхний колонтитул Знак1"/>
    <w:basedOn w:val="a0"/>
    <w:uiPriority w:val="99"/>
    <w:semiHidden/>
    <w:qFormat/>
    <w:rsid w:val="009E3A0C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9E3A0C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Гипертекстовая ссылка"/>
    <w:basedOn w:val="aa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c">
    <w:name w:val="Символ нумерации"/>
    <w:qFormat/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37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unhideWhenUsed/>
    <w:rsid w:val="009E3A0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Cs w:val="24"/>
      <w:lang w:val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9E3A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A7D6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ФИРМЕННЫЙ"/>
    <w:basedOn w:val="a"/>
    <w:qFormat/>
    <w:pPr>
      <w:ind w:firstLine="720"/>
      <w:jc w:val="both"/>
    </w:pPr>
    <w:rPr>
      <w:rFonts w:ascii="PT Astra Serif" w:hAnsi="PT Astra Serif" w:cs="PT Astra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37536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37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37536"/>
    <w:rPr>
      <w:i/>
      <w:iCs/>
    </w:rPr>
  </w:style>
  <w:style w:type="character" w:styleId="a4">
    <w:name w:val="Hyperlink"/>
    <w:basedOn w:val="a0"/>
    <w:uiPriority w:val="99"/>
    <w:semiHidden/>
    <w:unhideWhenUsed/>
    <w:rsid w:val="006375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7536"/>
    <w:rPr>
      <w:color w:val="800080"/>
      <w:u w:val="single"/>
    </w:rPr>
  </w:style>
  <w:style w:type="character" w:customStyle="1" w:styleId="entry">
    <w:name w:val="entry"/>
    <w:basedOn w:val="a0"/>
    <w:qFormat/>
    <w:rsid w:val="00637536"/>
  </w:style>
  <w:style w:type="character" w:customStyle="1" w:styleId="s10">
    <w:name w:val="s_10"/>
    <w:basedOn w:val="a0"/>
    <w:qFormat/>
    <w:rsid w:val="00637536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375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qFormat/>
    <w:locked/>
    <w:rsid w:val="009E3A0C"/>
    <w:rPr>
      <w:rFonts w:ascii="Times New Roman" w:eastAsia="Times New Roman" w:hAnsi="Times New Roman" w:cs="Times New Roman"/>
      <w:szCs w:val="24"/>
      <w:lang w:val="x-none"/>
    </w:rPr>
  </w:style>
  <w:style w:type="character" w:customStyle="1" w:styleId="10">
    <w:name w:val="Верхний колонтитул Знак1"/>
    <w:basedOn w:val="a0"/>
    <w:uiPriority w:val="99"/>
    <w:semiHidden/>
    <w:qFormat/>
    <w:rsid w:val="009E3A0C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9E3A0C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Гипертекстовая ссылка"/>
    <w:basedOn w:val="aa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c">
    <w:name w:val="Символ нумерации"/>
    <w:qFormat/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37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unhideWhenUsed/>
    <w:rsid w:val="009E3A0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Cs w:val="24"/>
      <w:lang w:val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9E3A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A7D6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ФИРМЕННЫЙ"/>
    <w:basedOn w:val="a"/>
    <w:qFormat/>
    <w:pPr>
      <w:ind w:firstLine="720"/>
      <w:jc w:val="both"/>
    </w:pPr>
    <w:rPr>
      <w:rFonts w:ascii="PT Astra Serif" w:hAnsi="PT Astra Serif" w:cs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2025-09-13T09:31:00Z</cp:lastPrinted>
  <dcterms:created xsi:type="dcterms:W3CDTF">2025-10-03T11:54:00Z</dcterms:created>
  <dcterms:modified xsi:type="dcterms:W3CDTF">2025-10-03T11:54:00Z</dcterms:modified>
  <dc:language>ru-RU</dc:language>
</cp:coreProperties>
</file>