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87" w:rsidRDefault="000D1D72">
      <w:pPr>
        <w:pStyle w:val="ConsPlusNormal"/>
        <w:spacing w:after="0" w:line="240" w:lineRule="auto"/>
        <w:ind w:left="8957" w:firstLine="0"/>
      </w:pPr>
      <w:bookmarkStart w:id="0" w:name="_GoBack"/>
      <w:bookmarkEnd w:id="0"/>
      <w:r>
        <w:rPr>
          <w:rFonts w:ascii="PT Astra Serif" w:hAnsi="PT Astra Serif" w:cs="Times New Roman"/>
          <w:color w:val="000000"/>
          <w:sz w:val="28"/>
          <w:szCs w:val="28"/>
        </w:rPr>
        <w:t xml:space="preserve">Приложение </w:t>
      </w:r>
    </w:p>
    <w:p w:rsidR="00194187" w:rsidRDefault="000D1D72">
      <w:pPr>
        <w:pStyle w:val="ConsPlusNormal"/>
        <w:spacing w:line="240" w:lineRule="auto"/>
        <w:ind w:left="8957" w:firstLine="0"/>
      </w:pPr>
      <w:r>
        <w:rPr>
          <w:rFonts w:ascii="PT Astra Serif" w:hAnsi="PT Astra Serif" w:cs="Times New Roman"/>
          <w:color w:val="000000"/>
          <w:sz w:val="28"/>
          <w:szCs w:val="28"/>
        </w:rPr>
        <w:t>к приказу комитета молодежной политики Саратовской области от 25.12.2024 № 75-од</w:t>
      </w:r>
    </w:p>
    <w:p w:rsidR="00194187" w:rsidRDefault="000D1D72">
      <w:pPr>
        <w:pStyle w:val="ConsPlusNormal"/>
        <w:spacing w:line="240" w:lineRule="auto"/>
        <w:ind w:left="8957" w:firstLine="0"/>
      </w:pPr>
      <w:r>
        <w:rPr>
          <w:rFonts w:ascii="PT Astra Serif" w:hAnsi="PT Astra Serif" w:cs="Times New Roman"/>
          <w:color w:val="000000"/>
        </w:rPr>
        <w:t>(в редакции приказа от 22.05.2025 № 32-од)</w:t>
      </w:r>
    </w:p>
    <w:p w:rsidR="00194187" w:rsidRDefault="000D1D72">
      <w:pPr>
        <w:pStyle w:val="ConsPlusNormal"/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</w:rPr>
        <w:t xml:space="preserve">План </w:t>
      </w:r>
    </w:p>
    <w:p w:rsidR="00194187" w:rsidRDefault="000D1D72">
      <w:pPr>
        <w:pStyle w:val="ConsPlusNormal"/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</w:rPr>
        <w:t xml:space="preserve">мероприятий комитета молодежной политики Саратовской области </w:t>
      </w:r>
    </w:p>
    <w:p w:rsidR="00194187" w:rsidRDefault="000D1D72">
      <w:pPr>
        <w:pStyle w:val="ConsPlusNormal"/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</w:rPr>
        <w:t>по реализации антикоррупционной политики</w:t>
      </w:r>
    </w:p>
    <w:p w:rsidR="00194187" w:rsidRDefault="000D1D72">
      <w:pPr>
        <w:pStyle w:val="ConsPlusNormal"/>
        <w:ind w:firstLine="0"/>
        <w:jc w:val="center"/>
      </w:pPr>
      <w:r>
        <w:rPr>
          <w:rFonts w:ascii="PT Astra Serif" w:hAnsi="PT Astra Serif" w:cs="Times New Roman"/>
          <w:b/>
          <w:color w:val="000000"/>
          <w:sz w:val="26"/>
          <w:szCs w:val="26"/>
        </w:rPr>
        <w:t xml:space="preserve">на 2025 </w:t>
      </w:r>
      <w:r>
        <w:rPr>
          <w:rFonts w:ascii="PT Astra Serif" w:hAnsi="PT Astra Serif" w:cs="Times New Roman"/>
          <w:b/>
          <w:color w:val="000000"/>
          <w:sz w:val="26"/>
          <w:szCs w:val="26"/>
        </w:rPr>
        <w:t>год</w:t>
      </w:r>
    </w:p>
    <w:tbl>
      <w:tblPr>
        <w:tblW w:w="14577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626"/>
        <w:gridCol w:w="3956"/>
        <w:gridCol w:w="2101"/>
        <w:gridCol w:w="1813"/>
        <w:gridCol w:w="3122"/>
        <w:gridCol w:w="2659"/>
        <w:gridCol w:w="300"/>
      </w:tblGrid>
      <w:tr w:rsidR="00194187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Мероприятия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Исполнители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Индикаторы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 показатели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Ожидаемый результат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14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1. Организационные меры по обеспечению реализации антикоррупционной политики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1.1.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Внесение в Планы по противодействию коррупции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комитета молодежной политики Саратовской области,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(далее – План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 по противодействию коррупции) изменений в целях приведения их в соответствие с требованиями антикоррупционного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законодательства и методических рекомендаций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по вопросам противодействия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1.2.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Обеспечение принятия и поддержания в актуальном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состоянии правовых актов о возложении персональной ответственности за состояние антикоррупционной работы в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комитете молодежной политики Саратовской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 области (далее – Комитет) на председателя Комитета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в соответ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ствии с подпунктом «а» пункта 8 перечня поручений Президента Российской Федерации от 14 ноября 2013 года № Пр-2689 по итогам заседания Совета при Президенте Российской Федерации </w:t>
            </w:r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>по противодействию коррупции 30 октября 2013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том числе при кадровых изменениях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Назначение лиц, ответственных за реализацию антикоррупционной политики в Комитете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По мере необходимости,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том числе при кадровых изменениях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1.4.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ведения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номенклатурных дел по реализации антикоррупционной политики и своевременного приобщения к ним информационных материалов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1.5.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Рассмотрение на совещаниях у председателя Комитета  хода и результатов выполнения мероприятий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антикоррупционной направленности, в том числе:</w:t>
            </w:r>
          </w:p>
        </w:tc>
        <w:tc>
          <w:tcPr>
            <w:tcW w:w="21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Беловицкая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А.А.,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ежеквартально,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 результатам квартала</w:t>
            </w:r>
          </w:p>
        </w:tc>
        <w:tc>
          <w:tcPr>
            <w:tcW w:w="312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Количество совещаний 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вопросам реализации и результатам выполнения мероприятий антикоррупционной направленности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Не менее 2 единиц в течение каждого полугодия</w:t>
            </w:r>
          </w:p>
        </w:tc>
        <w:tc>
          <w:tcPr>
            <w:tcW w:w="2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Обеспечение регулярного рассмотрения хода и результатов выполнения мероприятий антикоррупционной направленности</w:t>
            </w:r>
          </w:p>
        </w:tc>
        <w:tc>
          <w:tcPr>
            <w:tcW w:w="300" w:type="dxa"/>
            <w:vMerge w:val="restart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анализа работы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должностных лиц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, ответственных за работу по профилактике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коррупционных и иных правонарушений);</w:t>
            </w:r>
          </w:p>
        </w:tc>
        <w:tc>
          <w:tcPr>
            <w:tcW w:w="21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0" w:type="dxa"/>
            <w:vMerge/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4187">
        <w:tc>
          <w:tcPr>
            <w:tcW w:w="6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вопросов обеспечения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контроля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 за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lastRenderedPageBreak/>
              <w:t xml:space="preserve">применением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предусмотренных законодательством мер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юридической ответственности в каждом случае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несоблюдения запретов, ограничений и требований,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установленных в целях противодействия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коррупции, в том числе мер по предотвращению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и (или) урегулированию конфликта интересов;</w:t>
            </w:r>
          </w:p>
        </w:tc>
        <w:tc>
          <w:tcPr>
            <w:tcW w:w="21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0" w:type="dxa"/>
            <w:vMerge/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4187">
        <w:tc>
          <w:tcPr>
            <w:tcW w:w="6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состояния работы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по приведению в установленные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сроки правовых актов Комитета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соответствие с нормативными правовыми актами Российской Федерации в сфере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противодействия коррупции</w:t>
            </w:r>
          </w:p>
        </w:tc>
        <w:tc>
          <w:tcPr>
            <w:tcW w:w="21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0" w:type="dxa"/>
            <w:vMerge/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4187">
        <w:tc>
          <w:tcPr>
            <w:tcW w:w="14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2. Повышение эффективности механизмов урегулирования конфликта интересов, обеспечение соблюдения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государственными</w:t>
            </w:r>
            <w:proofErr w:type="gramEnd"/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гражданскими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Организационно-техническое и документационное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области, муниципальных служащих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области и урегулированию конфликта интересов,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а также совершенствование нормативных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правовых актов органо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в исполнительной власти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области, иных органов государственной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власти области, органов местного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lastRenderedPageBreak/>
              <w:t xml:space="preserve">самоуправления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>области, регламентирующих их функционирование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Привлечение к участию в работе комиссий по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соблюдению требований к служебному поведению государственных гражданских служащих области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 и урегулированию конфликта интересов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представителей институтов гражданского общества в соответствии с Указом Президента Российской Федерации от 1 июля 2010 года № 821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Доля заседаний комиссий по соблюдению требований к служебному поведению государственных гражданских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ва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проведенных заседаний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Обеспечение участия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представителей институтов гражданского общества на каждом заседании комиссии по соблюдению требований к служебному поведению государственных гражданских служащих области и урегулированию конфликта интересов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2.3.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Осуществление проверок достоверности и полноты сведений, представляемых гражданами, претендующими на замещение должностей государственной гражданской службы области, руководителя подведомственного учреждения и лицами, замещающими указанные должности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Отношение количества проведенных проверок к количеству фактов поступления информации, являющейся основанием для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проведения проверок,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не менее 100 про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2.4.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Организация и обеспечение работы по рассмотрению уведомлений представителя нанимателя о фактах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обращения в целях склонения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государственных гражданских служащих области к совершению коррупционных правонарушений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1) отношение количества поступивших уведомлений о фактах обращения в целях склонения государственны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х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lastRenderedPageBreak/>
              <w:t xml:space="preserve">гражданских служащих </w:t>
            </w:r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области по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совершению коррупционных правонарушений к количеству фактов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указанных обращений –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>не менее 100 процентов;</w:t>
            </w: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2) отношение количества проверок, проведенных по поступившим уведомлениям, к количеству поступивших уведомлений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не менее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100 процентов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1) обеспечение представления государственными гражданскими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lastRenderedPageBreak/>
              <w:t>служащими области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2) обеспечение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проведе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ния проверок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каждом случае поступления уведомления представителю нанимателя о фактах обращения в целях склонения государственного гражданского служащего области к совершению коррупционных правонарушений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2.5.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Поддержание в актуальном состоянии перечня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должностей государственной гражданской службы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области при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назначении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на которые граждане и при замещении которых государственные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гражданские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lastRenderedPageBreak/>
              <w:t>служащие области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 обязаны представлять сведения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о своих доходах, об имуществе и обязательствах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имущественного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2.6.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Обеспечение введения требования об использовании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специального программного обеспечения «Справки БК» всеми лицами, претендующими на замещение должностей или замещающими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должности, осуществление полномочий по которым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влечет за собой обязанность представлять сведения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 своих доходах, расходах, об имуществе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и обязательствах имущественного характера,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о доходах, расходах, об имуществе и обязательствах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имуществе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и обязательствах имущественного харак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тера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2.7.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контроля исполнения должностных обязанностей лицами, проходящими государственную гражданскую службу области на должностях, замещение которых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связано с коррупционными рисками, и устранение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таких рисков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Беловицкая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А.А.,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Соловьева Л.А.,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2.8.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реализации комплекса организационных, разъяснительных и иных мер по соблюдению государственными гражданскими служащими области запретов,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ограничений и требований, установленных в целях противодействия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соответствии с планом по противодействию коррупции Комитета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2.9.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реализации комплекса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организационных, разъяснительных и иных мер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по соблюдению работниками организаций,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>подведомственных Комитету,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соответствии с планом по противодействию коррупции Комитета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2.10.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Проведение работы по выявлению случаев возникновения конфликта интересов, одной из сторон которого являются государственные гражданские служащие области, и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 принятие предусмотренных законодательством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Российской Федерации мер по предотвращению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урегулированию конфликта интересов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Беловицкая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А.А.,</w:t>
            </w:r>
          </w:p>
          <w:p w:rsidR="00194187" w:rsidRDefault="000D1D72">
            <w:pPr>
              <w:spacing w:after="0" w:line="240" w:lineRule="auto"/>
              <w:jc w:val="center"/>
              <w:rPr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Соловьева Л.А.,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2.11.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контроля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>за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lastRenderedPageBreak/>
              <w:t xml:space="preserve">соблюдением лицами, замещающими должности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государственной гражданской службы области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, требований законодательства Российской Федерации о противодействии коррупции,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касающихся предотвращения и урегулирования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конфликта интересов, в том числе за привлечением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таких лиц к ответственности в случае их не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соблюдения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Беловицкая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А.А.,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Соловьева Л.А.,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2.12.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Разработка и принятие мер, направленных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на повышение эффективности кадровой работы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в части, касающейся ведения личных дел лиц, замещающих должности государственной гражданской службы области, должности муниципальной службы области, в том числе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контроля за актуализацией сведений, содержащихся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в анкетах, представляемых при назначении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на ук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азанные должности и поступлении на такую службу, об их родственниках и свойственниках </w:t>
            </w:r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>в целях выявления возможного конфликта интересов</w:t>
            </w:r>
            <w:proofErr w:type="gramEnd"/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2.13.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Предание гласности случаев несоблюдения требований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или об урегулировании конфликта интересов и применение мер ответственности, предусмотренных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законодательством Российской Федерации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При выявлении случаев несоблюдения требований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или об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lastRenderedPageBreak/>
              <w:t xml:space="preserve">урегулировании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конфликт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а интересов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1) отношение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количества фактов предания гласности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случаев несоблюдения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требований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или об урегулировании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конфликта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интересов к количеству выявленных случаев несоблюдения требований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или об урегулировании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конфликта интересов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>Не менее 100 процентов;</w:t>
            </w: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2) отношение количества фактов применения мер ответственности, предусмотренных законодательством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Российской Федерации,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 количеству выявленных фактов несоблюдения требований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>или об урегулирова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конфликта интересов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при наличии оснований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для применения мер ответственности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Не менее 100 процентов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обеспечение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предания гласности </w:t>
            </w:r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каждого выявленного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случая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lastRenderedPageBreak/>
              <w:t xml:space="preserve">несоблюдения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требований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или об урегулировании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>конфликта интересов;</w:t>
            </w: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</w:pP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2) обес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печение применения мер ответственности, предусмотренных законодательством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Российской Федерации,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в каждом случае выявления факта несоблюдения требований о предотвращении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или об урегулировании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конфликта интересов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при наличии оснований для применения мер отве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тственности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2.14.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Организация участия государственных гражданских служащих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 xml:space="preserve">коррупции, в том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числе их </w:t>
            </w:r>
            <w:proofErr w:type="gram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обучения</w:t>
            </w:r>
            <w:proofErr w:type="gram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ежегодно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Отношение количества государственных гражданских служащих области, в должностные обязанности которых входит участие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в противодействии коррупции, к количеству указанных лиц, принявших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 xml:space="preserve">участие в мероприятиях по профессиональному развитию в области противодействия коррупции, в том числе получивших образование по дополнительным профессиональным программам в области </w:t>
            </w:r>
            <w:r>
              <w:rPr>
                <w:rFonts w:ascii="PT Astra Serif" w:eastAsia="Times New Roman" w:hAnsi="PT Astra Serif" w:cs="Times New Roman"/>
                <w:spacing w:val="-8"/>
                <w:kern w:val="0"/>
                <w:lang w:eastAsia="ru-RU"/>
                <w14:ligatures w14:val="none"/>
              </w:rPr>
              <w:t>противо</w:t>
            </w:r>
            <w:r>
              <w:rPr>
                <w:rFonts w:ascii="PT Astra Serif" w:eastAsia="Times New Roman" w:hAnsi="PT Astra Serif" w:cs="Times New Roman"/>
                <w:spacing w:val="-8"/>
                <w:kern w:val="0"/>
                <w:lang w:eastAsia="ru-RU"/>
                <w14:ligatures w14:val="none"/>
              </w:rPr>
              <w:t xml:space="preserve">действия коррупции, –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не менее 100 процентов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 xml:space="preserve">Обеспечение участия в мероприятиях по профессиональному развитию в области противодействия коррупции, в том числе </w:t>
            </w:r>
            <w:proofErr w:type="gram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обучения</w:t>
            </w:r>
            <w:proofErr w:type="gram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по дополнительным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 xml:space="preserve">профессиональным программам в области противодействия коррупции, всех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государственных гражданских служащих области, в должностные обязанности которых входит участие в противодействии коррупции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2.15.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Организация участия лиц, впервые поступивших на государственную гражданскую службу области и замещающих должности, связанные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При назначении </w:t>
            </w:r>
            <w:r>
              <w:rPr>
                <w:rFonts w:ascii="PT Astra Serif" w:eastAsia="Times New Roman" w:hAnsi="PT Astra Serif" w:cs="Times New Roman"/>
                <w:spacing w:val="-8"/>
                <w:kern w:val="0"/>
                <w:lang w:eastAsia="ru-RU"/>
                <w14:ligatures w14:val="none"/>
              </w:rPr>
              <w:t xml:space="preserve">на соответствующие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должности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2.16.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Организация участия государственных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гражданских служащих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обучения</w:t>
            </w:r>
            <w:proofErr w:type="gram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по дополнительным профессиональным программам в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области противодействия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ежегодно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2.17.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Обмен лучшими практиками, передовым опытом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организации работы по противодействию коррупции (изучение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соответствующей информации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2.18.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Организация работы по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формированию кадрового резерва и повышение эффективности его использования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14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pacing w:val="-4"/>
                <w:kern w:val="0"/>
                <w:lang w:eastAsia="ru-RU"/>
                <w14:ligatures w14:val="none"/>
              </w:rPr>
              <w:t>3. Выявление и систематизация причин и условий проявления коррупции в деятельности Комитета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pacing w:val="-6"/>
                <w:kern w:val="0"/>
                <w:lang w:eastAsia="ru-RU"/>
                <w14:ligatures w14:val="none"/>
              </w:rPr>
              <w:t xml:space="preserve">, мониторинг коррупционных рисков и их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pacing w:val="-6"/>
                <w:kern w:val="0"/>
                <w:lang w:eastAsia="ru-RU"/>
                <w14:ligatures w14:val="none"/>
              </w:rPr>
              <w:t>устранение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3.1.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Проведение антикоррупционной экспертизы проектов нормативных правовых актов, принимаемых Комитетом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Отношение количества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проведенных антикоррупционных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экспертиз к количеству </w:t>
            </w:r>
            <w:r>
              <w:rPr>
                <w:rFonts w:ascii="PT Astra Serif" w:eastAsia="Times New Roman" w:hAnsi="PT Astra Serif" w:cs="Times New Roman"/>
                <w:color w:val="000000"/>
                <w:spacing w:val="-12"/>
                <w:kern w:val="0"/>
                <w:lang w:eastAsia="ru-RU"/>
                <w14:ligatures w14:val="none"/>
              </w:rPr>
              <w:t xml:space="preserve">разработанных проектов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нормативных правовых актов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Не менее 100 процентов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3.2.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Осуществление мониторинга применения нормативных правовых актов, принятых Комитетом, и проведение в отношении них антикоррупционной экспертизы при наличии </w:t>
            </w:r>
            <w:r>
              <w:rPr>
                <w:rFonts w:ascii="PT Astra Serif" w:eastAsia="Times New Roman" w:hAnsi="PT Astra Serif" w:cs="Times New Roman"/>
                <w:spacing w:val="-10"/>
                <w:kern w:val="0"/>
                <w:lang w:eastAsia="ru-RU"/>
                <w14:ligatures w14:val="none"/>
              </w:rPr>
              <w:t xml:space="preserve">признаков возможных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10"/>
                <w:kern w:val="0"/>
                <w:lang w:eastAsia="ru-RU"/>
                <w14:ligatures w14:val="none"/>
              </w:rPr>
              <w:lastRenderedPageBreak/>
              <w:t>коррупциогенных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10"/>
                <w:kern w:val="0"/>
                <w:lang w:eastAsia="ru-RU"/>
                <w14:ligatures w14:val="none"/>
              </w:rPr>
              <w:t xml:space="preserve"> факторов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Щербаков Е.А.,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Соловьева Л.А.,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в соответствии с планом по противодействию коррупции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3.3.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практики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 по результатам вступивших в законную </w:t>
            </w:r>
            <w:r>
              <w:rPr>
                <w:rFonts w:ascii="PT Astra Serif" w:eastAsia="Times New Roman" w:hAnsi="PT Astra Serif" w:cs="Times New Roman"/>
                <w:color w:val="000000"/>
                <w:spacing w:val="-16"/>
                <w:kern w:val="0"/>
                <w:lang w:eastAsia="ru-RU"/>
                <w14:ligatures w14:val="none"/>
              </w:rPr>
              <w:t xml:space="preserve">силу решений судов, арбитражных судов о признании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недействительными ненормативных правовых актов,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незаконными решений и действий (бездействия) Комитета и подведомственной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3.4.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Размещение в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установленном порядке в информационно-телекоммуникационной сети Интернет разрабатываемых Комитетом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постоянно, по мере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разработки проектов нормативных правовых актов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Отношение количества размещенных в установленном порядке в информационно-</w:t>
            </w:r>
            <w:r>
              <w:rPr>
                <w:rFonts w:ascii="PT Astra Serif" w:eastAsia="Times New Roman" w:hAnsi="PT Astra Serif" w:cs="Times New Roman"/>
                <w:spacing w:val="-10"/>
                <w:kern w:val="0"/>
                <w:lang w:eastAsia="ru-RU"/>
                <w14:ligatures w14:val="none"/>
              </w:rPr>
              <w:t xml:space="preserve">телекоммуникационной сети Интернет проектов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нормативных правовых актов к количеству </w:t>
            </w:r>
            <w:r>
              <w:rPr>
                <w:rFonts w:ascii="PT Astra Serif" w:eastAsia="Times New Roman" w:hAnsi="PT Astra Serif" w:cs="Times New Roman"/>
                <w:spacing w:val="-14"/>
                <w:kern w:val="0"/>
                <w:lang w:eastAsia="ru-RU"/>
                <w14:ligatures w14:val="none"/>
              </w:rPr>
              <w:t xml:space="preserve">разработанных проектов,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в отношении которых предусмо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трено проведение независимой антикоррупционной экспертизы, –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8"/>
                <w:kern w:val="0"/>
                <w:lang w:eastAsia="ru-RU"/>
                <w14:ligatures w14:val="none"/>
              </w:rPr>
              <w:t>Не менее 100 процентов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Обеспечение размещения в установленном порядке в информационно-</w:t>
            </w:r>
            <w:r>
              <w:rPr>
                <w:rFonts w:ascii="PT Astra Serif" w:eastAsia="Times New Roman" w:hAnsi="PT Astra Serif" w:cs="Times New Roman"/>
                <w:spacing w:val="-18"/>
                <w:kern w:val="0"/>
                <w:lang w:eastAsia="ru-RU"/>
                <w14:ligatures w14:val="none"/>
              </w:rPr>
              <w:t xml:space="preserve">телекоммуникационной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сети Интернет каждого проекта принимаемого нормативного правового акта, в отношении кото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рого предусмотрено проведение независимой антикоррупционной экспертизы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3.5.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Осуществление мониторинга с целью выявления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коррупционных рисков в деятельности по осуществлению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закупок для обеспечения государственных нужд области и устранение выявленных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коррупционных рисков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3.6.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Разработка и принятие мер по противодействию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коррупции при осуществлении закупок для обеспечения государственных нужд области, в том числе направленных на недопущение возникновения конфликта интересов 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указанной сфере деятельности путем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3.7.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pacing w:val="-6"/>
                <w:kern w:val="0"/>
                <w:lang w:eastAsia="ru-RU"/>
                <w14:ligatures w14:val="none"/>
              </w:rPr>
              <w:t xml:space="preserve">Разработка и принятие мер по противодействию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коррупции при учете 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использовании объектов государственной собственности области, в том числе направленных на недопущение возникновения конфликта интересов в указанной сфере деятельности путем проведения анализа в целях выявления аффилированных связей должностных лиц, участву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ющих в принятии решений о предоставлении объектов государственной собственности области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, с физическими и юридическими лицами, в отношении которых принято решение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о предоставлении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объектов государственной собственности области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Карькова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О.Н.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14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4.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Взаимодействие Комитета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pacing w:val="-8"/>
                <w:kern w:val="0"/>
                <w:lang w:eastAsia="ru-RU"/>
                <w14:ligatures w14:val="none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Комитета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4.1.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Проведение анализа поступающих обращений граждан и организаций на предмет наличия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сведений о возможных проявлениях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>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постоянно, по мере поступления обращений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оцентов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4.2.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Разработка и принятие мер по профилактике </w:t>
            </w:r>
            <w:r>
              <w:rPr>
                <w:rFonts w:ascii="PT Astra Serif" w:eastAsia="Times New Roman" w:hAnsi="PT Astra Serif" w:cs="Times New Roman"/>
                <w:color w:val="000000"/>
                <w:spacing w:val="-8"/>
                <w:kern w:val="0"/>
                <w:lang w:eastAsia="ru-RU"/>
                <w14:ligatures w14:val="none"/>
              </w:rPr>
              <w:t xml:space="preserve">коррупционных правонарушений по результатам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анализа обращений граждан и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организаций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Н.С,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4.3.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Обеспечение взаимодействия со средствами массовой информации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по вопросам противодействия коррупции, в том числе в части размещения информационных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материалов по вопросам антикоррупционной деятельности Комитета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lastRenderedPageBreak/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Н.С,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4.4.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Проведение «прямых линий» с гражданами по вопросам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противодействия коррупции, отнесенным к сфере деятельности Комитета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Правовславнова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О.А.,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соответствии с планом по противодействию коррупции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4.5.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14"/>
                <w:kern w:val="0"/>
                <w:lang w:eastAsia="ru-RU"/>
                <w14:ligatures w14:val="none"/>
              </w:rPr>
              <w:t xml:space="preserve">Подготовка информационных справок о результатах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проведения «прямых линий» с гражданами 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вопросам противодействия коррупции, отнесенным к сфере деятельности Комитета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Православнова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До 15 декабря отчетного года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4.6.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выполнением мероприятий,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предусмотренных планами по противодействию коррупции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Давыдычева Т.Н.,</w:t>
            </w:r>
          </w:p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kern w:val="0"/>
                <w:lang w:eastAsia="ru-RU"/>
                <w14:ligatures w14:val="none"/>
              </w:rPr>
              <w:t xml:space="preserve"> Н.С.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 соответствии с планом по противодействию коррупции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14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5. Мероприятия Комитета, направленные на противодействие коррупции, с учетом специфики деятельности</w:t>
            </w: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5.1.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Разработка и принятие мер, направленных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на оптимизацию предоставления государственных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услуг, исполнения государственных функций, </w:t>
            </w:r>
            <w:r>
              <w:rPr>
                <w:rFonts w:ascii="PT Astra Serif" w:eastAsia="Times New Roman" w:hAnsi="PT Astra Serif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в том числе внедрение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административных регламентов и обеспечение соблюдения требований действующих администрати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вных регламентов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Соловьева Л.А.,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Былинкина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 xml:space="preserve"> Н.С.,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ЩербаковЕ.А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94187"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5.2.</w:t>
            </w:r>
          </w:p>
        </w:tc>
        <w:tc>
          <w:tcPr>
            <w:tcW w:w="3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Ведение журнала обращений для получения информации от граждан о качестве предоставляемых государственных услуг</w:t>
            </w:r>
          </w:p>
        </w:tc>
        <w:tc>
          <w:tcPr>
            <w:tcW w:w="2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color w:val="000000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Щербаков Е.А.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0D1D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0" w:type="dxa"/>
            <w:shd w:val="clear" w:color="auto" w:fill="FFFFFF"/>
          </w:tcPr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94187" w:rsidRDefault="0019418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94187" w:rsidRDefault="00194187">
      <w:pPr>
        <w:spacing w:line="240" w:lineRule="auto"/>
      </w:pPr>
    </w:p>
    <w:p w:rsidR="00194187" w:rsidRDefault="00194187">
      <w:pPr>
        <w:spacing w:line="240" w:lineRule="auto"/>
      </w:pPr>
    </w:p>
    <w:p w:rsidR="00194187" w:rsidRDefault="000D1D72">
      <w:pPr>
        <w:spacing w:line="240" w:lineRule="auto"/>
        <w:jc w:val="center"/>
      </w:pPr>
      <w:r>
        <w:t>______________________</w:t>
      </w:r>
    </w:p>
    <w:sectPr w:rsidR="00194187">
      <w:headerReference w:type="default" r:id="rId9"/>
      <w:pgSz w:w="16838" w:h="11906" w:orient="landscape"/>
      <w:pgMar w:top="1734" w:right="1134" w:bottom="850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2" w:rsidRDefault="000D1D72">
      <w:pPr>
        <w:spacing w:after="0" w:line="240" w:lineRule="auto"/>
      </w:pPr>
      <w:r>
        <w:separator/>
      </w:r>
    </w:p>
  </w:endnote>
  <w:endnote w:type="continuationSeparator" w:id="0">
    <w:p w:rsidR="000D1D72" w:rsidRDefault="000D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1"/>
    <w:family w:val="roman"/>
    <w:pitch w:val="variable"/>
  </w:font>
  <w:font w:name="Aptos Display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2" w:rsidRDefault="000D1D72">
      <w:pPr>
        <w:spacing w:after="0" w:line="240" w:lineRule="auto"/>
      </w:pPr>
      <w:r>
        <w:separator/>
      </w:r>
    </w:p>
  </w:footnote>
  <w:footnote w:type="continuationSeparator" w:id="0">
    <w:p w:rsidR="000D1D72" w:rsidRDefault="000D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87" w:rsidRDefault="00194187">
    <w:pPr>
      <w:pStyle w:val="af4"/>
      <w:spacing w:after="0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4CC"/>
    <w:multiLevelType w:val="multilevel"/>
    <w:tmpl w:val="454E13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77C0FBD"/>
    <w:multiLevelType w:val="multilevel"/>
    <w:tmpl w:val="12242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7"/>
    <w:rsid w:val="000D1D72"/>
    <w:rsid w:val="001716E6"/>
    <w:rsid w:val="00194187"/>
    <w:rsid w:val="006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81"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A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A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A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A3B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A3B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A3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A3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A3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A3BD7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DA3B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DA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DA3BD7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DA3BD7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DA3BD7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DA3BD7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a0"/>
    <w:qFormat/>
    <w:rsid w:val="00590D5E"/>
  </w:style>
  <w:style w:type="character" w:styleId="ab">
    <w:name w:val="Hyperlink"/>
    <w:basedOn w:val="a0"/>
    <w:uiPriority w:val="99"/>
    <w:semiHidden/>
    <w:unhideWhenUsed/>
    <w:rsid w:val="00590D5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90D5E"/>
    <w:rPr>
      <w:color w:val="800080"/>
      <w:u w:val="single"/>
    </w:rPr>
  </w:style>
  <w:style w:type="character" w:customStyle="1" w:styleId="spelle">
    <w:name w:val="spelle"/>
    <w:basedOn w:val="a0"/>
    <w:qFormat/>
    <w:rsid w:val="00590D5E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10"/>
    <w:qFormat/>
    <w:rsid w:val="00DA3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A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DA3BD7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DA3BD7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DA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msonormal0">
    <w:name w:val="msonormal"/>
    <w:basedOn w:val="a"/>
    <w:qFormat/>
    <w:rsid w:val="00590D5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bodytext3">
    <w:name w:val="bodytext3"/>
    <w:basedOn w:val="a"/>
    <w:qFormat/>
    <w:rsid w:val="00590D5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qFormat/>
    <w:pPr>
      <w:widowControl w:val="0"/>
      <w:spacing w:after="160" w:line="276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4">
    <w:name w:val="header"/>
    <w:basedOn w:val="af3"/>
  </w:style>
  <w:style w:type="numbering" w:customStyle="1" w:styleId="11">
    <w:name w:val="Нет списка1"/>
    <w:uiPriority w:val="99"/>
    <w:semiHidden/>
    <w:unhideWhenUsed/>
    <w:qFormat/>
    <w:rsid w:val="0059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81"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A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A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A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A3B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A3B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A3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A3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A3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A3BD7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DA3B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DA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DA3BD7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DA3BD7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DA3BD7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DA3BD7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a0"/>
    <w:qFormat/>
    <w:rsid w:val="00590D5E"/>
  </w:style>
  <w:style w:type="character" w:styleId="ab">
    <w:name w:val="Hyperlink"/>
    <w:basedOn w:val="a0"/>
    <w:uiPriority w:val="99"/>
    <w:semiHidden/>
    <w:unhideWhenUsed/>
    <w:rsid w:val="00590D5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90D5E"/>
    <w:rPr>
      <w:color w:val="800080"/>
      <w:u w:val="single"/>
    </w:rPr>
  </w:style>
  <w:style w:type="character" w:customStyle="1" w:styleId="spelle">
    <w:name w:val="spelle"/>
    <w:basedOn w:val="a0"/>
    <w:qFormat/>
    <w:rsid w:val="00590D5E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10"/>
    <w:qFormat/>
    <w:rsid w:val="00DA3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A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DA3BD7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DA3BD7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DA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msonormal0">
    <w:name w:val="msonormal"/>
    <w:basedOn w:val="a"/>
    <w:qFormat/>
    <w:rsid w:val="00590D5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bodytext3">
    <w:name w:val="bodytext3"/>
    <w:basedOn w:val="a"/>
    <w:qFormat/>
    <w:rsid w:val="00590D5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qFormat/>
    <w:pPr>
      <w:widowControl w:val="0"/>
      <w:spacing w:after="160" w:line="276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4">
    <w:name w:val="header"/>
    <w:basedOn w:val="af3"/>
  </w:style>
  <w:style w:type="numbering" w:customStyle="1" w:styleId="11">
    <w:name w:val="Нет списка1"/>
    <w:uiPriority w:val="99"/>
    <w:semiHidden/>
    <w:unhideWhenUsed/>
    <w:qFormat/>
    <w:rsid w:val="0059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B9B5-0FD3-4369-849D-99611EFA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Davydychev</dc:creator>
  <cp:lastModifiedBy>Alena</cp:lastModifiedBy>
  <cp:revision>2</cp:revision>
  <cp:lastPrinted>2025-06-09T12:10:00Z</cp:lastPrinted>
  <dcterms:created xsi:type="dcterms:W3CDTF">2025-06-11T09:02:00Z</dcterms:created>
  <dcterms:modified xsi:type="dcterms:W3CDTF">2025-06-11T09:02:00Z</dcterms:modified>
  <dc:language>ru-RU</dc:language>
</cp:coreProperties>
</file>